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426" w:rightChars="-203" w:firstLine="1760"/>
        <w:jc w:val="right"/>
        <w:rPr>
          <w:rFonts w:ascii="宋体" w:hAnsi="宋体"/>
          <w:b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内部审核不符合项分布表</w:t>
      </w:r>
      <w:r>
        <w:rPr>
          <w:rFonts w:hint="eastAsia"/>
          <w:szCs w:val="21"/>
        </w:rPr>
        <w:t xml:space="preserve">   </w:t>
      </w:r>
      <w:bookmarkStart w:id="0" w:name="_GoBack"/>
      <w:bookmarkEnd w:id="0"/>
      <w:r>
        <w:rPr>
          <w:rFonts w:hint="eastAsia"/>
          <w:szCs w:val="21"/>
        </w:rPr>
        <w:t xml:space="preserve">      DLOU（10/0）-B-28-4</w:t>
      </w:r>
    </w:p>
    <w:p>
      <w:pPr>
        <w:wordWrap w:val="0"/>
        <w:spacing w:line="240" w:lineRule="atLeast"/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92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98" w:type="dxa"/>
          <w:bottom w:w="0" w:type="dxa"/>
          <w:right w:w="198" w:type="dxa"/>
        </w:tblCellMar>
      </w:tblPr>
      <w:tblGrid>
        <w:gridCol w:w="653"/>
        <w:gridCol w:w="2088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379"/>
        <w:gridCol w:w="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2960" w:hRule="atLeast"/>
          <w:jc w:val="center"/>
        </w:trPr>
        <w:tc>
          <w:tcPr>
            <w:tcW w:w="2741" w:type="dxa"/>
            <w:gridSpan w:val="2"/>
            <w:tcBorders>
              <w:tl2br w:val="single" w:color="auto" w:sz="6" w:space="0"/>
            </w:tcBorders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  <w:p>
            <w:pPr>
              <w:spacing w:line="240" w:lineRule="atLeast"/>
              <w:ind w:right="-426" w:rightChars="-203" w:firstLine="738" w:firstLineChars="35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受审核部门</w:t>
            </w: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质量体系要素</w:t>
            </w: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506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学校管理层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党政办公室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组织人事部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教务处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 xml:space="preserve"> 教学质量监控与评估中心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学生工作处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招生就业处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 xml:space="preserve"> 国有资产与实验室管理处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国有资产采购服务中心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航海与船舶工程学院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图书馆</w:t>
            </w:r>
          </w:p>
        </w:tc>
        <w:tc>
          <w:tcPr>
            <w:tcW w:w="507" w:type="dxa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质量管理办公室</w:t>
            </w:r>
          </w:p>
        </w:tc>
        <w:tc>
          <w:tcPr>
            <w:tcW w:w="416" w:type="dxa"/>
            <w:gridSpan w:val="2"/>
            <w:textDirection w:val="tbRlV"/>
            <w:vAlign w:val="center"/>
          </w:tcPr>
          <w:p>
            <w:pPr>
              <w:spacing w:line="240" w:lineRule="atLeast"/>
              <w:ind w:right="-426" w:rightChars="-203"/>
              <w:jc w:val="center"/>
              <w:rPr>
                <w:rFonts w:ascii="宋体" w:hAnsi="宋体"/>
                <w:b/>
                <w:spacing w:val="20"/>
              </w:rPr>
            </w:pPr>
            <w:r>
              <w:rPr>
                <w:rFonts w:hint="eastAsia" w:ascii="宋体" w:hAnsi="宋体"/>
                <w:b/>
                <w:spacing w:val="20"/>
              </w:rPr>
              <w:t>合计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1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质量方针和</w:t>
            </w:r>
          </w:p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质量目标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02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职责、权限和沟通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3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培训课程</w:t>
            </w:r>
            <w:r>
              <w:rPr>
                <w:rFonts w:ascii="宋体" w:hAnsi="宋体"/>
                <w:b/>
              </w:rPr>
              <w:t>和</w:t>
            </w:r>
          </w:p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实施</w:t>
            </w:r>
            <w:r>
              <w:rPr>
                <w:rFonts w:hint="eastAsia" w:ascii="宋体" w:hAnsi="宋体"/>
                <w:b/>
              </w:rPr>
              <w:t>计划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04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招生与学员管理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教学与管理人员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场地、设施和设备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="-3" w:leftChars="-26" w:right="-426" w:rightChars="-203" w:hanging="52" w:hangingChars="26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教学和训练的实施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教学和训练的</w:t>
            </w:r>
          </w:p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检查与评估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质量记录控制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ascii="宋体" w:hAnsi="宋体"/>
                <w:b/>
              </w:rPr>
              <w:t>0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纠正措施和</w:t>
            </w:r>
          </w:p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质量风险管理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文件控制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662" w:hRule="atLeast"/>
          <w:jc w:val="center"/>
        </w:trPr>
        <w:tc>
          <w:tcPr>
            <w:tcW w:w="653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2</w:t>
            </w:r>
          </w:p>
        </w:tc>
        <w:tc>
          <w:tcPr>
            <w:tcW w:w="2088" w:type="dxa"/>
            <w:vAlign w:val="center"/>
          </w:tcPr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内部审核和</w:t>
            </w:r>
          </w:p>
          <w:p>
            <w:pPr>
              <w:spacing w:line="240" w:lineRule="atLeast"/>
              <w:ind w:leftChars="-26" w:right="-426" w:rightChars="-203" w:hanging="55" w:hangingChars="26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管理评审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cantSplit/>
          <w:trHeight w:val="462" w:hRule="atLeast"/>
          <w:jc w:val="center"/>
        </w:trPr>
        <w:tc>
          <w:tcPr>
            <w:tcW w:w="2741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506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507" w:type="dxa"/>
            <w:vAlign w:val="center"/>
          </w:tcPr>
          <w:p>
            <w:pPr>
              <w:spacing w:line="240" w:lineRule="atLeast"/>
              <w:ind w:right="-426" w:rightChars="-203"/>
              <w:rPr>
                <w:rFonts w:ascii="宋体" w:hAnsi="宋体"/>
              </w:rPr>
            </w:pPr>
          </w:p>
        </w:tc>
        <w:tc>
          <w:tcPr>
            <w:tcW w:w="416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98" w:type="dxa"/>
            <w:bottom w:w="0" w:type="dxa"/>
            <w:right w:w="198" w:type="dxa"/>
          </w:tblCellMar>
        </w:tblPrEx>
        <w:trPr>
          <w:gridAfter w:val="1"/>
          <w:wAfter w:w="37" w:type="dxa"/>
          <w:cantSplit/>
          <w:trHeight w:val="662" w:hRule="atLeast"/>
          <w:jc w:val="center"/>
        </w:trPr>
        <w:tc>
          <w:tcPr>
            <w:tcW w:w="2741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审核组长</w:t>
            </w:r>
          </w:p>
        </w:tc>
        <w:tc>
          <w:tcPr>
            <w:tcW w:w="4055" w:type="dxa"/>
            <w:gridSpan w:val="8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</w:t>
            </w:r>
          </w:p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40" w:lineRule="atLeast"/>
              <w:ind w:right="-426" w:rightChars="-203"/>
              <w:jc w:val="left"/>
              <w:rPr>
                <w:rFonts w:ascii="宋体" w:hAnsi="宋体"/>
              </w:rPr>
            </w:pPr>
          </w:p>
        </w:tc>
      </w:tr>
    </w:tbl>
    <w:p>
      <w:pPr>
        <w:ind w:right="-426" w:rightChars="-203" w:firstLine="315" w:firstLineChars="15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说明:1、△为一般不符合项；2、▲为重大不符合项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05792182"/>
    <w:rsid w:val="05792182"/>
    <w:rsid w:val="07C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2023-10-08T06:59:00Z</dcterms:created>
  <dc:creator>余笙</dc:creator>
  <cp:lastModifiedBy>余笙</cp:lastModifiedBy>
  <dcterms:modified xsi:type="dcterms:W3CDTF">2023-10-08T07:02:30Z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6595FBB3E3F34E4D821F213AB2C762CA_11</vt:lpwstr>
  </property>
</Properties>
</file>